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i/>
          <w:sz w:val="26"/>
          <w:szCs w:val="24"/>
        </w:rPr>
        <w:t>LIBERI   art. 40 -VIBO VALENTIA</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lineRule="auto" w:line="276" w:before="0" w:after="0"/>
        <w:ind w:left="113" w:right="0" w:hanging="57"/>
        <w:jc w:val="both"/>
        <w:rPr>
          <w:sz w:val="24"/>
          <w:szCs w:val="24"/>
        </w:rPr>
      </w:pPr>
      <w:r>
        <w:rPr>
          <w:rFonts w:eastAsia="Times New Roman" w:cs="Calibri" w:ascii="Calibri" w:hAnsi="Calibri" w:asciiTheme="minorHAnsi" w:cstheme="minorHAnsi" w:hAnsiTheme="minorHAnsi"/>
          <w:sz w:val="24"/>
          <w:szCs w:val="24"/>
        </w:rPr>
        <w:t>I volontari svolgono attività di accompagnamento e di assistenza generica (lettura di giornali, corrispondenza, registrazioni audio di testi…), offrendo la loro particolare disponibilità nel soddisfacimento di necessità terapeutiche, lavorative, dirigenziali e sociali degli assegnatari del servizio, che escono quotidianamente di casa ed hanno, pertanto, costantemente bisogno di una persona vicina, di un amico di cui fidarsi, che darà e riceverà energie sempre nuove - tese al potenziamento delle conoscenze e delle capacità, alla scoperta di nuovi orizzonti, alla valorizzazione delle individuali propensioni.  L’attività di accompagnamento riguarda anche la partecipazione di ogni assegnatario ad iniziative formative, ricreative e di altro genere, tra le quali quelle organizzate dall’Ente Promotore. Ai volontari sono assegnati orari di servizio tali da corrispondere alla quantità ed alla qualità delle richieste dei fruitori. Il servizio si esplica dal lunedì al sabato mattina e, eccezionalmente - previo assenso dei volontari, il sabato pomeriggio ed anche la domenica, in occasione di incontri, per assemblee, convegni escursioni ed altre attività. Il volontario rappresenta il sicuro riferimento per il non vedente, una mano tesa nel cammino d’inclusione globale, un modo per essere LIBERI. Il Servizio Civile diviene, così, un’occasione di reciproco scambio di doni, che contribuiscono ad elevare il fruitore, il volontario ed il mondo circostante.</w:t>
      </w:r>
    </w:p>
    <w:p>
      <w:pPr>
        <w:pStyle w:val="Normal"/>
        <w:widowControl/>
        <w:tabs>
          <w:tab w:val="clear" w:pos="720"/>
          <w:tab w:val="left" w:pos="744" w:leader="none"/>
        </w:tabs>
        <w:suppressAutoHyphens w:val="true"/>
        <w:bidi w:val="0"/>
        <w:spacing w:lineRule="auto" w:line="276" w:before="0" w:after="0"/>
        <w:ind w:left="113" w:right="0" w:hanging="57"/>
        <w:jc w:val="both"/>
        <w:rPr>
          <w:rFonts w:ascii="Calibri" w:hAnsi="Calibri" w:eastAsia="Times New Roman" w:cs="Calibri" w:asciiTheme="minorHAnsi" w:cstheme="minorHAnsi" w:hAnsiTheme="minorHAnsi"/>
        </w:rPr>
      </w:pPr>
      <w:r>
        <w:rPr>
          <w:sz w:val="24"/>
          <w:szCs w:val="24"/>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lineRule="auto" w:line="276" w:before="0" w:after="0"/>
        <w:ind w:left="0" w:right="0" w:hanging="0"/>
        <w:jc w:val="both"/>
        <w:rPr>
          <w:sz w:val="24"/>
          <w:szCs w:val="24"/>
        </w:rPr>
      </w:pPr>
      <w:r>
        <w:rPr>
          <w:rFonts w:eastAsia="Times New Roman" w:cs="Calibri" w:ascii="Calibri" w:hAnsi="Calibri" w:asciiTheme="minorHAnsi" w:cstheme="minorHAnsi" w:hAnsiTheme="minorHAnsi"/>
          <w:sz w:val="24"/>
          <w:szCs w:val="24"/>
        </w:rPr>
        <w:t>L’esperienza dell’OLP, “guida e maestro del volontario”, e l’apporto di tutte le figure operanti presso la sede di attuazione, nonché il confronto con altri non vedenti e colleghi volontari, costituiranno un enorme bagaglio dal quale attingere per formarsi sempre più, attraverso:</w:t>
      </w:r>
    </w:p>
    <w:p>
      <w:pPr>
        <w:pStyle w:val="Normal"/>
        <w:widowControl/>
        <w:tabs>
          <w:tab w:val="clear" w:pos="720"/>
          <w:tab w:val="left" w:pos="744" w:leader="none"/>
        </w:tabs>
        <w:suppressAutoHyphens w:val="true"/>
        <w:bidi w:val="0"/>
        <w:spacing w:lineRule="auto" w:line="276" w:before="0" w:after="0"/>
        <w:ind w:left="0" w:right="0" w:hanging="0"/>
        <w:jc w:val="both"/>
        <w:rPr>
          <w:sz w:val="24"/>
          <w:szCs w:val="24"/>
        </w:rPr>
      </w:pPr>
      <w:r>
        <w:rPr>
          <w:rFonts w:eastAsia="Times New Roman" w:cs="Calibri" w:ascii="Calibri" w:hAnsi="Calibri" w:asciiTheme="minorHAnsi" w:cstheme="minorHAnsi" w:hAnsiTheme="minorHAnsi"/>
          <w:sz w:val="24"/>
          <w:szCs w:val="24"/>
        </w:rPr>
        <w:t>-</w:t>
        <w:tab/>
        <w:t>Corsi di Accompagnamento, di Lettura e Scrittura Braille, di Informatica e Tecnologie Assistive per Ciechi e Ipovedenti, di Audio Registrazione, di Stampa Braille e 3D, di Utilizzo LIM;</w:t>
      </w:r>
    </w:p>
    <w:p>
      <w:pPr>
        <w:pStyle w:val="Normal"/>
        <w:widowControl/>
        <w:tabs>
          <w:tab w:val="clear" w:pos="720"/>
          <w:tab w:val="left" w:pos="744" w:leader="none"/>
        </w:tabs>
        <w:suppressAutoHyphens w:val="true"/>
        <w:bidi w:val="0"/>
        <w:spacing w:lineRule="auto" w:line="276" w:before="0" w:after="0"/>
        <w:ind w:left="0" w:right="0" w:hanging="0"/>
        <w:jc w:val="both"/>
        <w:rPr>
          <w:sz w:val="24"/>
          <w:szCs w:val="24"/>
        </w:rPr>
      </w:pPr>
      <w:r>
        <w:rPr>
          <w:rFonts w:eastAsia="Times New Roman" w:cs="Calibri" w:ascii="Calibri" w:hAnsi="Calibri" w:asciiTheme="minorHAnsi" w:cstheme="minorHAnsi" w:hAnsiTheme="minorHAnsi"/>
          <w:sz w:val="24"/>
          <w:szCs w:val="24"/>
        </w:rPr>
        <w:tab/>
        <w:t>Seminari di Psicologia, Pedagogia, Antropologia, Sociologia dei Processi Culturali e Comunicativi, Tiflologia e Tiflodidattica, Oculistica e Normative riguardanti la Disabilità Visiva;</w:t>
      </w:r>
    </w:p>
    <w:p>
      <w:pPr>
        <w:pStyle w:val="Normal"/>
        <w:widowControl/>
        <w:tabs>
          <w:tab w:val="clear" w:pos="720"/>
          <w:tab w:val="left" w:pos="744" w:leader="none"/>
        </w:tabs>
        <w:suppressAutoHyphens w:val="true"/>
        <w:bidi w:val="0"/>
        <w:spacing w:lineRule="auto" w:line="276" w:before="0" w:after="0"/>
        <w:ind w:left="0" w:right="0" w:hanging="0"/>
        <w:jc w:val="both"/>
        <w:rPr>
          <w:sz w:val="24"/>
          <w:szCs w:val="24"/>
        </w:rPr>
      </w:pPr>
      <w:r>
        <w:rPr>
          <w:rFonts w:eastAsia="Times New Roman" w:cs="Calibri" w:ascii="Calibri" w:hAnsi="Calibri" w:asciiTheme="minorHAnsi" w:cstheme="minorHAnsi" w:hAnsiTheme="minorHAnsi"/>
          <w:sz w:val="24"/>
          <w:szCs w:val="24"/>
        </w:rPr>
        <w:t>-</w:t>
        <w:tab/>
        <w:t>Iniziative di Prevenzione Visiva;</w:t>
      </w:r>
    </w:p>
    <w:p>
      <w:pPr>
        <w:pStyle w:val="Normal"/>
        <w:widowControl/>
        <w:tabs>
          <w:tab w:val="clear" w:pos="720"/>
          <w:tab w:val="left" w:pos="744" w:leader="none"/>
        </w:tabs>
        <w:suppressAutoHyphens w:val="true"/>
        <w:bidi w:val="0"/>
        <w:spacing w:lineRule="auto" w:line="276" w:before="0" w:after="0"/>
        <w:ind w:left="0" w:right="0" w:hanging="0"/>
        <w:jc w:val="both"/>
        <w:rPr>
          <w:sz w:val="24"/>
          <w:szCs w:val="24"/>
        </w:rPr>
      </w:pPr>
      <w:r>
        <w:rPr>
          <w:rFonts w:eastAsia="Times New Roman" w:cs="Calibri" w:ascii="Calibri" w:hAnsi="Calibri" w:asciiTheme="minorHAnsi" w:cstheme="minorHAnsi" w:hAnsiTheme="minorHAnsi"/>
          <w:sz w:val="24"/>
          <w:szCs w:val="24"/>
        </w:rPr>
        <w:t>-</w:t>
        <w:tab/>
        <w:t>Attività di Confronto con altri Enti del Terzo Settore e di Conoscenza delle Realtà Sociali, Artistiche ed Imprenditoriali del territorio;</w:t>
      </w:r>
    </w:p>
    <w:p>
      <w:pPr>
        <w:pStyle w:val="Normal"/>
        <w:widowControl/>
        <w:tabs>
          <w:tab w:val="clear" w:pos="720"/>
          <w:tab w:val="left" w:pos="744" w:leader="none"/>
        </w:tabs>
        <w:suppressAutoHyphens w:val="true"/>
        <w:bidi w:val="0"/>
        <w:spacing w:lineRule="auto" w:line="276" w:before="0" w:after="0"/>
        <w:ind w:left="0" w:right="0" w:hanging="0"/>
        <w:jc w:val="both"/>
        <w:rPr>
          <w:sz w:val="24"/>
          <w:szCs w:val="24"/>
        </w:rPr>
      </w:pPr>
      <w:r>
        <w:rPr>
          <w:rFonts w:eastAsia="Times New Roman" w:cs="Calibri" w:ascii="Calibri" w:hAnsi="Calibri" w:asciiTheme="minorHAnsi" w:cstheme="minorHAnsi" w:hAnsiTheme="minorHAnsi"/>
          <w:sz w:val="24"/>
          <w:szCs w:val="24"/>
        </w:rPr>
        <w:t>-</w:t>
        <w:tab/>
        <w:t>Attività Sportive e Ricreative Condivise.</w:t>
      </w:r>
    </w:p>
    <w:p>
      <w:pPr>
        <w:pStyle w:val="Normal"/>
        <w:widowControl/>
        <w:tabs>
          <w:tab w:val="clear" w:pos="720"/>
          <w:tab w:val="left" w:pos="744" w:leader="none"/>
        </w:tabs>
        <w:suppressAutoHyphens w:val="true"/>
        <w:bidi w:val="0"/>
        <w:spacing w:lineRule="auto" w:line="276" w:before="0" w:after="0"/>
        <w:ind w:left="0" w:right="0" w:hanging="0"/>
        <w:jc w:val="both"/>
        <w:rPr>
          <w:sz w:val="24"/>
          <w:szCs w:val="24"/>
        </w:rPr>
      </w:pPr>
      <w:r>
        <w:rPr>
          <w:rFonts w:eastAsia="Times New Roman" w:cs="Calibri" w:ascii="Calibri" w:hAnsi="Calibri" w:asciiTheme="minorHAnsi" w:cstheme="minorHAnsi" w:hAnsiTheme="minorHAnsi"/>
          <w:sz w:val="24"/>
          <w:szCs w:val="24"/>
        </w:rPr>
        <w:t xml:space="preserve">Le descritte specifiche iniziative guidate, oltre a rafforzare il rapporto con l’OLP – che seguirà il volontario nell’acquisizione ed elevazione di abilità, competenze e conoscenze - permetteranno l’arricchimento del bagaglio comunicativo, progettuale e gestionale, collaborativo, relazionale, di risoluzione dei problemi e di autonomia. Tali competenze verranno messe in atto grazie a relative attività di tirocinio negli assi del Linguaggio, della Matematica, in quello Scientifico – Tecnologico e Storico Sociale (D.M. MIUR 139/2007) </w:t>
      </w:r>
    </w:p>
    <w:p>
      <w:pPr>
        <w:pStyle w:val="Normal"/>
        <w:widowControl/>
        <w:tabs>
          <w:tab w:val="clear" w:pos="720"/>
          <w:tab w:val="left" w:pos="744" w:leader="none"/>
        </w:tabs>
        <w:suppressAutoHyphens w:val="true"/>
        <w:bidi w:val="0"/>
        <w:spacing w:lineRule="auto" w:line="276" w:before="0" w:after="0"/>
        <w:ind w:left="0" w:right="0" w:hanging="0"/>
        <w:jc w:val="both"/>
        <w:rPr>
          <w:sz w:val="24"/>
          <w:szCs w:val="24"/>
        </w:rPr>
      </w:pPr>
      <w:r>
        <w:rPr>
          <w:rFonts w:eastAsia="Times New Roman" w:cs="Calibri" w:ascii="Calibri" w:hAnsi="Calibri" w:asciiTheme="minorHAnsi" w:cstheme="minorHAnsi" w:hAnsiTheme="minorHAnsi"/>
          <w:sz w:val="24"/>
          <w:szCs w:val="24"/>
        </w:rPr>
        <w:t xml:space="preserve">Le enormi opportunità formative, rese possibili da figure professionali specifiche, verranno fatte proprie dal volontario grazie al supporto dell’OLP, con il quale si intensificheranno e rafforzeranno i rapporti – proprio attraverso la condivisione di ogni momento e facendo tesoro di ciascun elemento di crescita, condensato nello “scambio comunicativo” di idee e proposte, al fine di rendere il volontario “protagonista” e sempre più consapevole di un’importante scelta arricchente, che lo proietta fortemente nel contesto socio - produttivo </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Unione Italiana dei Ciechi e degli Ipovedenti ETS-APS    Sezione Territoriale di VIBO VALENTIA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Via San Giovanni Bosco n. 13 cap 89900 Vibo Valentia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rPr>
              <w:t xml:space="preserve">Tel.: 0963.472047 e-mail: </w:t>
            </w:r>
            <w:hyperlink r:id="rId3">
              <w:r>
                <w:rPr>
                  <w:rStyle w:val="CollegamentoInternet"/>
                  <w:rFonts w:eastAsia="Times New Roman"/>
                </w:rPr>
                <w:t>uicvib@uici.it</w:t>
              </w:r>
            </w:hyperlink>
            <w:r>
              <w:rPr>
                <w:rFonts w:eastAsia="Times New Roman"/>
              </w:rPr>
              <w:t xml:space="preserve">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rPr>
              <w:t>pec: uicivibovalentia@pec.it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15</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b w:val="false"/>
          <w:bCs w:val="false"/>
          <w:i/>
        </w:rPr>
        <w:t>Nessuno</w:t>
      </w:r>
    </w:p>
    <w:p>
      <w:pPr>
        <w:pStyle w:val="ListParagraph"/>
        <w:widowControl/>
        <w:numPr>
          <w:ilvl w:val="0"/>
          <w:numId w:val="0"/>
        </w:numPr>
        <w:tabs>
          <w:tab w:val="clear" w:pos="720"/>
          <w:tab w:val="left" w:pos="788" w:leader="none"/>
        </w:tabs>
        <w:suppressAutoHyphens w:val="true"/>
        <w:bidi w:val="0"/>
        <w:spacing w:lineRule="auto" w:line="240" w:before="0" w:after="240"/>
        <w:ind w:left="0" w:right="0" w:hanging="0"/>
        <w:contextualSpacing/>
        <w:jc w:val="left"/>
        <w:rPr>
          <w:b w:val="false"/>
          <w:b w:val="false"/>
          <w:bCs w:val="false"/>
          <w:sz w:val="4"/>
          <w:szCs w:val="4"/>
        </w:rPr>
      </w:pPr>
      <w:r>
        <w:rPr>
          <w:b w:val="false"/>
          <w:bCs w:val="false"/>
          <w:sz w:val="4"/>
          <w:szCs w:val="4"/>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bidi w:val="0"/>
        <w:ind w:left="0" w:right="0" w:hanging="0"/>
        <w:jc w:val="left"/>
        <w:rPr>
          <w:rFonts w:eastAsia="Times New Roman" w:cs="" w:asciiTheme="majorHAnsi" w:cstheme="minorHAnsi" w:hAnsiTheme="majorHAnsi"/>
          <w:b/>
          <w:b/>
          <w:bCs/>
          <w:i/>
          <w:i/>
          <w:szCs w:val="24"/>
          <w:u w:val="single"/>
        </w:rPr>
      </w:pPr>
      <w:r>
        <w:rPr>
          <w:rFonts w:eastAsia="Times New Roman" w:cs="" w:asciiTheme="majorHAnsi" w:cstheme="minorHAnsi" w:hAnsiTheme="majorHAnsi"/>
          <w:b/>
          <w:bCs/>
          <w:i/>
          <w:szCs w:val="24"/>
          <w:u w:val="single"/>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w:t>
      </w:r>
      <w:r>
        <w:rPr>
          <w:rFonts w:eastAsia="Calibri"/>
          <w:i/>
        </w:rPr>
        <w:t>PECIFICO</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spacing w:before="0" w:after="29"/>
        <w:rPr>
          <w:sz w:val="20"/>
          <w:szCs w:val="20"/>
        </w:rPr>
      </w:pPr>
      <w:r>
        <w:rPr>
          <w:color w:val="FF0000"/>
        </w:rPr>
        <w:t xml:space="preserve">- </w:t>
      </w:r>
      <w:r>
        <w:rPr>
          <w:sz w:val="20"/>
          <w:szCs w:val="20"/>
        </w:rPr>
        <w:t xml:space="preserve">VIBO VALENTIA – Unione Italiana dei Ciechi e degli Ipovedenti Sezione Territoriale di Vibo Valentia  </w:t>
      </w:r>
    </w:p>
    <w:p>
      <w:pPr>
        <w:pStyle w:val="Normal"/>
        <w:spacing w:before="0" w:after="29"/>
        <w:rPr>
          <w:sz w:val="20"/>
          <w:szCs w:val="20"/>
        </w:rPr>
      </w:pPr>
      <w:r>
        <w:rPr>
          <w:sz w:val="20"/>
          <w:szCs w:val="20"/>
        </w:rPr>
        <w:t xml:space="preserve">   </w:t>
      </w:r>
      <w:r>
        <w:rPr>
          <w:sz w:val="20"/>
          <w:szCs w:val="20"/>
        </w:rPr>
        <w:t>Via San Giovanni Bosco n. 13 CAP 89900</w:t>
      </w:r>
    </w:p>
    <w:p>
      <w:pPr>
        <w:pStyle w:val="Normal"/>
        <w:jc w:val="both"/>
        <w:rPr/>
      </w:pPr>
      <w:r>
        <w:rPr>
          <w:sz w:val="22"/>
          <w:szCs w:val="22"/>
        </w:rPr>
        <w:t>- ROMA – Presidenza Nazionale Unione Italiana dei Ciechi e degli Ipovedenti</w:t>
      </w:r>
    </w:p>
    <w:p>
      <w:pPr>
        <w:pStyle w:val="Normal"/>
        <w:jc w:val="both"/>
        <w:rPr/>
      </w:pPr>
      <w:r>
        <w:rPr>
          <w:sz w:val="22"/>
          <w:szCs w:val="22"/>
        </w:rPr>
        <w:t>Via Borgognona n. 38 Cap 00187 per la formazione svolta a distanza (FAD)</w:t>
      </w:r>
    </w:p>
    <w:p>
      <w:pPr>
        <w:pStyle w:val="ListParagraph"/>
        <w:widowControl/>
        <w:numPr>
          <w:ilvl w:val="0"/>
          <w:numId w:val="0"/>
        </w:numPr>
        <w:suppressAutoHyphens w:val="true"/>
        <w:bidi w:val="0"/>
        <w:spacing w:before="0" w:after="240"/>
        <w:ind w:left="0" w:right="0" w:hanging="0"/>
        <w:contextualSpacing/>
        <w:jc w:val="left"/>
        <w:rPr>
          <w:i/>
          <w:i/>
        </w:rPr>
      </w:pPr>
      <w:r>
        <w:rPr>
          <w:i/>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r>
        <w:br w:type="page"/>
      </w:r>
    </w:p>
    <w:p>
      <w:pPr>
        <w:pStyle w:val="Paragrafoelenco"/>
        <w:numPr>
          <w:ilvl w:val="0"/>
          <w:numId w:val="0"/>
        </w:numPr>
        <w:tabs>
          <w:tab w:val="clear" w:pos="720"/>
          <w:tab w:val="left" w:pos="612" w:leader="none"/>
        </w:tabs>
        <w:bidi w:val="0"/>
        <w:spacing w:before="0" w:after="12"/>
        <w:ind w:left="720" w:right="0" w:hanging="0"/>
        <w:contextualSpacing w:val="false"/>
        <w:jc w:val="center"/>
        <w:textAlignment w:val="auto"/>
        <w:rPr>
          <w:rFonts w:eastAsia="Calibri"/>
          <w:b/>
          <w:b/>
          <w:i/>
          <w:i/>
          <w:color w:val="000000"/>
          <w:szCs w:val="20"/>
        </w:rPr>
      </w:pPr>
      <w:r>
        <w:rPr>
          <w:rFonts w:eastAsia="Calibri"/>
          <w:b/>
          <w:i/>
          <w:color w:val="000000"/>
          <w:szCs w:val="20"/>
        </w:rPr>
        <w:t>ULTERIORI MISURE AGGIUNTIVE</w:t>
      </w:r>
    </w:p>
    <w:p>
      <w:pPr>
        <w:pStyle w:val="Normal"/>
        <w:bidi w:val="0"/>
        <w:jc w:val="left"/>
        <w:rPr>
          <w:b/>
          <w:b/>
          <w:bCs/>
          <w:sz w:val="26"/>
          <w:szCs w:val="26"/>
        </w:rPr>
      </w:pPr>
      <w:r>
        <w:rPr>
          <w:b/>
          <w:bCs/>
          <w:sz w:val="26"/>
          <w:szCs w:val="26"/>
        </w:rPr>
      </w:r>
    </w:p>
    <w:p>
      <w:pPr>
        <w:pStyle w:val="Normal"/>
        <w:rPr>
          <w:b/>
          <w:b/>
          <w:sz w:val="20"/>
          <w:szCs w:val="20"/>
        </w:rPr>
      </w:pPr>
      <w:r>
        <w:rPr>
          <w:b/>
          <w:sz w:val="20"/>
          <w:szCs w:val="20"/>
        </w:rPr>
      </w:r>
    </w:p>
    <w:p>
      <w:pPr>
        <w:pStyle w:val="Normal"/>
        <w:pBdr>
          <w:top w:val="single" w:sz="4" w:space="1" w:color="000000"/>
          <w:left w:val="single" w:sz="4" w:space="4" w:color="000000"/>
          <w:bottom w:val="single" w:sz="4" w:space="1" w:color="000000"/>
          <w:right w:val="single" w:sz="4" w:space="4" w:color="000000"/>
        </w:pBdr>
        <w:rPr/>
      </w:pPr>
      <w:r>
        <w:rPr>
          <w:b/>
          <w:sz w:val="20"/>
          <w:szCs w:val="20"/>
        </w:rPr>
        <w:t>PARTECIPAZIONE DI GIOVANI CON MINORI OPPORTUNITA’ voce 21</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Numero posti previsti per giovani con minori opportunità </w:t>
      </w:r>
    </w:p>
    <w:p>
      <w:pPr>
        <w:pStyle w:val="Normal"/>
        <w:pBdr>
          <w:top w:val="single" w:sz="4" w:space="1" w:color="000000"/>
          <w:left w:val="single" w:sz="4" w:space="4" w:color="000000"/>
          <w:bottom w:val="single" w:sz="4" w:space="1" w:color="000000"/>
          <w:right w:val="single" w:sz="4" w:space="4" w:color="000000"/>
        </w:pBdr>
        <w:rPr/>
      </w:pPr>
      <w:r>
        <w:rPr>
          <w:sz w:val="20"/>
          <w:szCs w:val="20"/>
        </w:rPr>
        <w:t>voce 21.1</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Tipologia di giovani con minore opportunità </w:t>
      </w:r>
    </w:p>
    <w:p>
      <w:pPr>
        <w:pStyle w:val="Normal"/>
        <w:pBdr>
          <w:top w:val="single" w:sz="4" w:space="1" w:color="000000"/>
          <w:left w:val="single" w:sz="4" w:space="4" w:color="000000"/>
          <w:bottom w:val="single" w:sz="4" w:space="1" w:color="000000"/>
          <w:right w:val="single" w:sz="4" w:space="4" w:color="000000"/>
        </w:pBdr>
        <w:rPr/>
      </w:pPr>
      <w:r>
        <w:rPr>
          <w:sz w:val="20"/>
          <w:szCs w:val="20"/>
        </w:rPr>
        <w:t>voce 21.2</w:t>
      </w:r>
    </w:p>
    <w:p>
      <w:pPr>
        <w:pStyle w:val="Normal"/>
        <w:pBdr>
          <w:top w:val="single" w:sz="4" w:space="1" w:color="000000"/>
          <w:left w:val="single" w:sz="4" w:space="4" w:color="000000"/>
          <w:bottom w:val="single" w:sz="4" w:space="1" w:color="000000"/>
          <w:right w:val="single" w:sz="4" w:space="4" w:color="000000"/>
        </w:pBdr>
        <w:rPr/>
      </w:pPr>
      <w:r>
        <w:rPr>
          <w:sz w:val="20"/>
          <w:szCs w:val="20"/>
        </w:rPr>
        <w:tab/>
        <w:t xml:space="preserve">- Disabilità (specificare il tipo di disabilità) </w:t>
      </w:r>
    </w:p>
    <w:p>
      <w:pPr>
        <w:pStyle w:val="Normal"/>
        <w:pBdr>
          <w:top w:val="single" w:sz="4" w:space="1" w:color="000000"/>
          <w:left w:val="single" w:sz="4" w:space="4" w:color="000000"/>
          <w:bottom w:val="single" w:sz="4" w:space="1" w:color="000000"/>
          <w:right w:val="single" w:sz="4" w:space="4" w:color="000000"/>
        </w:pBdr>
        <w:ind w:firstLine="708"/>
        <w:rPr/>
      </w:pPr>
      <w:r>
        <w:rPr>
          <w:sz w:val="20"/>
          <w:szCs w:val="20"/>
        </w:rPr>
        <w:t>- Bassa scolarizzazione</w:t>
      </w:r>
    </w:p>
    <w:p>
      <w:pPr>
        <w:pStyle w:val="Normal"/>
        <w:pBdr>
          <w:top w:val="single" w:sz="4" w:space="1" w:color="000000"/>
          <w:left w:val="single" w:sz="4" w:space="4" w:color="000000"/>
          <w:bottom w:val="single" w:sz="4" w:space="1" w:color="000000"/>
          <w:right w:val="single" w:sz="4" w:space="4" w:color="000000"/>
        </w:pBdr>
        <w:ind w:firstLine="708"/>
        <w:rPr/>
      </w:pPr>
      <w:r>
        <w:rPr>
          <w:sz w:val="20"/>
          <w:szCs w:val="20"/>
        </w:rPr>
        <w:t>- Difficoltà economiche</w:t>
      </w:r>
    </w:p>
    <w:p>
      <w:pPr>
        <w:pStyle w:val="Normal"/>
        <w:pBdr>
          <w:top w:val="single" w:sz="4" w:space="1" w:color="000000"/>
          <w:left w:val="single" w:sz="4" w:space="4" w:color="000000"/>
          <w:bottom w:val="single" w:sz="4" w:space="1" w:color="000000"/>
          <w:right w:val="single" w:sz="4" w:space="4" w:color="000000"/>
        </w:pBdr>
        <w:ind w:firstLine="708"/>
        <w:rPr/>
      </w:pPr>
      <w:r>
        <w:rPr>
          <w:sz w:val="20"/>
          <w:szCs w:val="20"/>
        </w:rPr>
        <w:t>- Care leavers</w:t>
      </w:r>
    </w:p>
    <w:p>
      <w:pPr>
        <w:pStyle w:val="Normal"/>
        <w:pBdr>
          <w:top w:val="single" w:sz="4" w:space="1" w:color="000000"/>
          <w:left w:val="single" w:sz="4" w:space="4" w:color="000000"/>
          <w:bottom w:val="single" w:sz="4" w:space="1" w:color="000000"/>
          <w:right w:val="single" w:sz="4" w:space="4" w:color="000000"/>
        </w:pBdr>
        <w:ind w:firstLine="708"/>
        <w:rPr/>
      </w:pPr>
      <w:r>
        <w:rPr>
          <w:sz w:val="20"/>
          <w:szCs w:val="20"/>
        </w:rPr>
        <w:t>- Giovani soggetti a temporanea condizione di fragilità personale o sociale</w:t>
      </w:r>
    </w:p>
    <w:p>
      <w:pPr>
        <w:pStyle w:val="Normal"/>
        <w:pBdr>
          <w:top w:val="single" w:sz="4" w:space="1" w:color="000000"/>
          <w:left w:val="single" w:sz="4" w:space="4" w:color="000000"/>
          <w:bottom w:val="single" w:sz="4" w:space="1" w:color="000000"/>
          <w:right w:val="single" w:sz="4" w:space="4" w:color="000000"/>
        </w:pBdr>
        <w:rPr>
          <w:sz w:val="20"/>
          <w:szCs w:val="20"/>
        </w:rPr>
      </w:pPr>
      <w:r>
        <w:rPr>
          <w:sz w:val="20"/>
          <w:szCs w:val="20"/>
        </w:rPr>
        <w:tab/>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Documento che attesta l’appartenenza del giovane alla categoria individuata </w:t>
      </w:r>
    </w:p>
    <w:p>
      <w:pPr>
        <w:pStyle w:val="Normal"/>
        <w:pBdr>
          <w:top w:val="single" w:sz="4" w:space="1" w:color="000000"/>
          <w:left w:val="single" w:sz="4" w:space="4" w:color="000000"/>
          <w:bottom w:val="single" w:sz="4" w:space="1" w:color="000000"/>
          <w:right w:val="single" w:sz="4" w:space="4" w:color="000000"/>
        </w:pBdr>
        <w:rPr/>
      </w:pPr>
      <w:r>
        <w:rPr>
          <w:sz w:val="20"/>
          <w:szCs w:val="20"/>
        </w:rPr>
        <w:t>voce 21.3</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Attività degli operatori volontari con minori opportunità </w:t>
      </w:r>
    </w:p>
    <w:p>
      <w:pPr>
        <w:pStyle w:val="Normal"/>
        <w:pBdr>
          <w:top w:val="single" w:sz="4" w:space="1" w:color="000000"/>
          <w:left w:val="single" w:sz="4" w:space="4" w:color="000000"/>
          <w:bottom w:val="single" w:sz="4" w:space="1" w:color="000000"/>
          <w:right w:val="single" w:sz="4" w:space="4" w:color="000000"/>
        </w:pBdr>
        <w:rPr/>
      </w:pPr>
      <w:r>
        <w:rPr>
          <w:sz w:val="20"/>
          <w:szCs w:val="20"/>
        </w:rPr>
        <w:t>voce 6</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Ulteriori risorse umane e strumentali e/o delle iniziative e/o delle misure di sostegno volte ad accompagnare gli operatori volontari con minori opportunità nello svolgimento delle attività progettuali</w:t>
      </w:r>
    </w:p>
    <w:p>
      <w:pPr>
        <w:pStyle w:val="Normal"/>
        <w:pBdr>
          <w:top w:val="single" w:sz="4" w:space="1" w:color="000000"/>
          <w:left w:val="single" w:sz="4" w:space="4" w:color="000000"/>
          <w:bottom w:val="single" w:sz="4" w:space="1" w:color="000000"/>
          <w:right w:val="single" w:sz="4" w:space="4" w:color="000000"/>
        </w:pBdr>
        <w:rPr/>
      </w:pPr>
      <w:r>
        <w:rPr>
          <w:sz w:val="20"/>
          <w:szCs w:val="20"/>
        </w:rPr>
        <w:t>voce 21.6</w:t>
      </w:r>
    </w:p>
    <w:p>
      <w:pPr>
        <w:pStyle w:val="Normal"/>
        <w:ind w:left="785" w:hanging="0"/>
        <w:rPr>
          <w:b/>
          <w:b/>
          <w:sz w:val="20"/>
          <w:szCs w:val="20"/>
        </w:rPr>
      </w:pPr>
      <w:r>
        <w:rPr>
          <w:b/>
          <w:sz w:val="20"/>
          <w:szCs w:val="20"/>
        </w:rPr>
      </w:r>
    </w:p>
    <w:p>
      <w:pPr>
        <w:pStyle w:val="Normal"/>
        <w:pBdr>
          <w:top w:val="single" w:sz="4" w:space="1" w:color="000000"/>
          <w:left w:val="single" w:sz="4" w:space="4" w:color="000000"/>
          <w:bottom w:val="single" w:sz="4" w:space="1" w:color="000000"/>
          <w:right w:val="single" w:sz="4" w:space="4" w:color="000000"/>
        </w:pBdr>
        <w:rPr/>
      </w:pPr>
      <w:r>
        <w:rPr>
          <w:b/>
          <w:sz w:val="20"/>
          <w:szCs w:val="20"/>
        </w:rPr>
        <w:t>SVOLGIMENTO DI UN PERIODO DI TUTORAGGIO voce 22</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Durata del periodo di tutoraggio </w:t>
      </w:r>
    </w:p>
    <w:p>
      <w:pPr>
        <w:pStyle w:val="Normal"/>
        <w:pBdr>
          <w:top w:val="single" w:sz="4" w:space="1" w:color="000000"/>
          <w:left w:val="single" w:sz="4" w:space="4" w:color="000000"/>
          <w:bottom w:val="single" w:sz="4" w:space="1" w:color="000000"/>
          <w:right w:val="single" w:sz="4" w:space="4" w:color="000000"/>
        </w:pBdr>
        <w:rPr/>
      </w:pPr>
      <w:r>
        <w:rPr>
          <w:sz w:val="20"/>
          <w:szCs w:val="20"/>
        </w:rPr>
        <w:t>voce 22.1</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Ore dedicate </w:t>
      </w:r>
    </w:p>
    <w:p>
      <w:pPr>
        <w:pStyle w:val="Normal"/>
        <w:pBdr>
          <w:top w:val="single" w:sz="4" w:space="1" w:color="000000"/>
          <w:left w:val="single" w:sz="4" w:space="4" w:color="000000"/>
          <w:bottom w:val="single" w:sz="4" w:space="1" w:color="000000"/>
          <w:right w:val="single" w:sz="4" w:space="4" w:color="000000"/>
        </w:pBdr>
        <w:rPr/>
      </w:pPr>
      <w:r>
        <w:rPr>
          <w:sz w:val="20"/>
          <w:szCs w:val="20"/>
        </w:rPr>
        <w:t>voce 22.2</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 </w:t>
      </w:r>
      <w:r>
        <w:rPr>
          <w:sz w:val="20"/>
          <w:szCs w:val="20"/>
        </w:rPr>
        <w:t xml:space="preserve">Tempi, modalità e articolazione oraria </w:t>
      </w:r>
    </w:p>
    <w:p>
      <w:pPr>
        <w:pStyle w:val="Normal"/>
        <w:pBdr>
          <w:top w:val="single" w:sz="4" w:space="1" w:color="000000"/>
          <w:left w:val="single" w:sz="4" w:space="4" w:color="000000"/>
          <w:bottom w:val="single" w:sz="4" w:space="1" w:color="000000"/>
          <w:right w:val="single" w:sz="4" w:space="4" w:color="000000"/>
        </w:pBdr>
        <w:rPr/>
      </w:pPr>
      <w:r>
        <w:rPr>
          <w:sz w:val="20"/>
          <w:szCs w:val="20"/>
        </w:rPr>
        <w:t>voce 22.3</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Attività di tutoraggio </w:t>
      </w:r>
    </w:p>
    <w:p>
      <w:pPr>
        <w:pStyle w:val="Normal"/>
        <w:pBdr>
          <w:top w:val="single" w:sz="4" w:space="1" w:color="000000"/>
          <w:left w:val="single" w:sz="4" w:space="4" w:color="000000"/>
          <w:bottom w:val="single" w:sz="4" w:space="1" w:color="000000"/>
          <w:right w:val="single" w:sz="4" w:space="4" w:color="000000"/>
        </w:pBdr>
        <w:rPr/>
      </w:pPr>
      <w:r>
        <w:rPr>
          <w:sz w:val="20"/>
          <w:szCs w:val="20"/>
        </w:rPr>
        <w:t>voce 22.4 (obbligatorie)</w:t>
      </w:r>
    </w:p>
    <w:p>
      <w:pPr>
        <w:pStyle w:val="Normal"/>
        <w:pBdr>
          <w:top w:val="single" w:sz="4" w:space="1" w:color="000000"/>
          <w:left w:val="single" w:sz="4" w:space="4" w:color="000000"/>
          <w:bottom w:val="single" w:sz="4" w:space="1" w:color="000000"/>
          <w:right w:val="single" w:sz="4" w:space="4" w:color="000000"/>
        </w:pBdr>
        <w:rPr/>
      </w:pPr>
      <w:r>
        <w:rPr>
          <w:sz w:val="20"/>
          <w:szCs w:val="20"/>
        </w:rPr>
        <w:t>voce 22.5 (opzionali)</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3"/>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vib@uici.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234</TotalTime>
  <Application>LibreOffice/7.4.2.3$Windows_X86_64 LibreOffice_project/382eef1f22670f7f4118c8c2dd222ec7ad009daf</Application>
  <AppVersion>15.0000</AppVersion>
  <Pages>8</Pages>
  <Words>2748</Words>
  <Characters>16303</Characters>
  <CharactersWithSpaces>18815</CharactersWithSpaces>
  <Paragraphs>274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2023-11-11T17:06:25Z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